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468" w:type="dxa"/>
        <w:tblLook w:val="04A0" w:firstRow="1" w:lastRow="0" w:firstColumn="1" w:lastColumn="0" w:noHBand="0" w:noVBand="1"/>
      </w:tblPr>
      <w:tblGrid>
        <w:gridCol w:w="4410"/>
        <w:gridCol w:w="9990"/>
      </w:tblGrid>
      <w:tr w:rsidR="00314D4D" w:rsidRPr="00143C10" w14:paraId="4F86FB9E" w14:textId="77777777" w:rsidTr="00D129DF">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A00A192" w14:textId="77777777" w:rsidR="00314D4D" w:rsidRPr="00143C10" w:rsidRDefault="00314D4D" w:rsidP="00D129DF">
            <w:pPr>
              <w:rPr>
                <w:sz w:val="18"/>
                <w:szCs w:val="20"/>
              </w:rPr>
            </w:pPr>
            <w:r w:rsidRPr="00143C10">
              <w:rPr>
                <w:sz w:val="18"/>
                <w:szCs w:val="20"/>
              </w:rPr>
              <w:t>Legal Entity</w:t>
            </w:r>
          </w:p>
        </w:tc>
        <w:tc>
          <w:tcPr>
            <w:tcW w:w="9990" w:type="dxa"/>
            <w:tcBorders>
              <w:top w:val="single" w:sz="12" w:space="0" w:color="auto"/>
              <w:left w:val="single" w:sz="4" w:space="0" w:color="auto"/>
              <w:bottom w:val="single" w:sz="12" w:space="0" w:color="auto"/>
              <w:right w:val="single" w:sz="12" w:space="0" w:color="auto"/>
            </w:tcBorders>
          </w:tcPr>
          <w:p w14:paraId="15433CFA" w14:textId="77777777" w:rsidR="00314D4D" w:rsidRPr="00143C10" w:rsidRDefault="00314D4D" w:rsidP="00D129DF">
            <w:pPr>
              <w:rPr>
                <w:rFonts w:cs="Helvetica"/>
                <w:sz w:val="18"/>
                <w:szCs w:val="20"/>
                <w:lang w:val="en-US"/>
              </w:rPr>
            </w:pPr>
            <w:r w:rsidRPr="00143C10">
              <w:rPr>
                <w:rFonts w:cs="Helvetica"/>
                <w:sz w:val="18"/>
                <w:szCs w:val="20"/>
                <w:lang w:val="en-US"/>
              </w:rPr>
              <w:t>J.P. Morgan AG (549300ZK53CNGEEI6A29)</w:t>
            </w:r>
          </w:p>
        </w:tc>
      </w:tr>
      <w:tr w:rsidR="00314D4D" w:rsidRPr="00143C10" w14:paraId="4F09A97B" w14:textId="77777777" w:rsidTr="00D129DF">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86FAA1A" w14:textId="77777777" w:rsidR="00314D4D" w:rsidRPr="00143C10" w:rsidRDefault="00314D4D" w:rsidP="00D129DF">
            <w:pPr>
              <w:rPr>
                <w:sz w:val="18"/>
                <w:szCs w:val="20"/>
              </w:rPr>
            </w:pPr>
            <w:r w:rsidRPr="00143C10">
              <w:rPr>
                <w:sz w:val="18"/>
                <w:szCs w:val="20"/>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DD68C8" w14:textId="77777777" w:rsidR="00314D4D" w:rsidRPr="00143C10" w:rsidRDefault="00314D4D" w:rsidP="00D129DF">
            <w:pPr>
              <w:rPr>
                <w:rFonts w:cs="Helvetica"/>
                <w:sz w:val="18"/>
                <w:szCs w:val="20"/>
                <w:lang w:val="en-US"/>
              </w:rPr>
            </w:pPr>
            <w:r w:rsidRPr="00143C10">
              <w:rPr>
                <w:rFonts w:cs="Helvetica"/>
                <w:sz w:val="18"/>
                <w:szCs w:val="20"/>
                <w:lang w:val="en-US"/>
              </w:rPr>
              <w:t>Futures and Options admitted to trading on a trading venue (Currency Derivatives and Equity Derivatives)</w:t>
            </w:r>
          </w:p>
        </w:tc>
      </w:tr>
      <w:tr w:rsidR="00314D4D" w:rsidRPr="00143C10" w14:paraId="623257B8" w14:textId="77777777" w:rsidTr="00D129DF">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0B7B1F2" w14:textId="77777777" w:rsidR="00314D4D" w:rsidRPr="00143C10" w:rsidRDefault="00314D4D" w:rsidP="00D129DF">
            <w:pPr>
              <w:jc w:val="center"/>
              <w:rPr>
                <w:rFonts w:cs="Helvetica"/>
                <w:sz w:val="18"/>
                <w:szCs w:val="20"/>
                <w:lang w:val="en-US"/>
              </w:rPr>
            </w:pPr>
            <w:r w:rsidRPr="00143C10">
              <w:rPr>
                <w:rFonts w:cs="Helvetica"/>
                <w:sz w:val="18"/>
                <w:szCs w:val="20"/>
                <w:lang w:val="en-US"/>
              </w:rPr>
              <w:t>Summary of Analysis</w:t>
            </w:r>
          </w:p>
        </w:tc>
        <w:bookmarkStart w:id="0" w:name="_GoBack"/>
        <w:bookmarkEnd w:id="0"/>
      </w:tr>
      <w:tr w:rsidR="00314D4D" w:rsidRPr="00143C10" w14:paraId="46F6EBC5" w14:textId="77777777" w:rsidTr="00D129DF">
        <w:tc>
          <w:tcPr>
            <w:tcW w:w="14400" w:type="dxa"/>
            <w:gridSpan w:val="2"/>
            <w:tcBorders>
              <w:left w:val="single" w:sz="12" w:space="0" w:color="auto"/>
              <w:right w:val="single" w:sz="12" w:space="0" w:color="auto"/>
            </w:tcBorders>
          </w:tcPr>
          <w:p w14:paraId="1347C4DA" w14:textId="77777777" w:rsidR="00143C10" w:rsidRPr="00143C10" w:rsidRDefault="00143C10" w:rsidP="00143C10">
            <w:pPr>
              <w:rPr>
                <w:rFonts w:cs="Helvetica"/>
                <w:sz w:val="18"/>
                <w:szCs w:val="20"/>
                <w:lang w:val="en-US"/>
              </w:rPr>
            </w:pPr>
            <w:r w:rsidRPr="00143C10">
              <w:rPr>
                <w:rFonts w:cs="Helvetica"/>
                <w:sz w:val="18"/>
                <w:szCs w:val="20"/>
                <w:lang w:val="en-US"/>
              </w:rPr>
              <w:t xml:space="preserve">J.P. Morgan AG’s top five report includes information for: </w:t>
            </w:r>
          </w:p>
          <w:p w14:paraId="4357A0AF" w14:textId="77777777" w:rsidR="00143C10" w:rsidRPr="00143C10" w:rsidRDefault="00143C10" w:rsidP="00143C10">
            <w:pPr>
              <w:pStyle w:val="ListParagraph"/>
              <w:numPr>
                <w:ilvl w:val="0"/>
                <w:numId w:val="4"/>
              </w:numPr>
              <w:contextualSpacing w:val="0"/>
              <w:rPr>
                <w:rFonts w:cs="Helvetica"/>
                <w:sz w:val="18"/>
                <w:szCs w:val="20"/>
                <w:lang w:val="en-US"/>
              </w:rPr>
            </w:pPr>
            <w:r w:rsidRPr="00143C10">
              <w:rPr>
                <w:rFonts w:cs="Helvetica"/>
                <w:sz w:val="18"/>
                <w:szCs w:val="20"/>
                <w:lang w:val="en-US"/>
              </w:rPr>
              <w:t>Currency Derivatives: Swaps, Forwards, And Other Currency Derivatives</w:t>
            </w:r>
          </w:p>
          <w:p w14:paraId="13BC29FA" w14:textId="77777777" w:rsidR="00143C10" w:rsidRPr="00143C10" w:rsidRDefault="00143C10" w:rsidP="00143C10">
            <w:pPr>
              <w:pStyle w:val="ListParagraph"/>
              <w:numPr>
                <w:ilvl w:val="0"/>
                <w:numId w:val="4"/>
              </w:numPr>
              <w:contextualSpacing w:val="0"/>
              <w:rPr>
                <w:rFonts w:cs="Helvetica"/>
                <w:sz w:val="18"/>
                <w:szCs w:val="20"/>
                <w:lang w:val="en-US"/>
              </w:rPr>
            </w:pPr>
            <w:r w:rsidRPr="00143C10">
              <w:rPr>
                <w:rFonts w:cs="Helvetica"/>
                <w:sz w:val="18"/>
                <w:szCs w:val="20"/>
                <w:lang w:val="en-US"/>
              </w:rPr>
              <w:t>Equity Derivatives: Swaps And Other Equity Derivatives.</w:t>
            </w:r>
          </w:p>
          <w:p w14:paraId="34A30B7A" w14:textId="79D3931E" w:rsidR="00143C10" w:rsidRPr="00143C10" w:rsidRDefault="00143C10" w:rsidP="00143C10">
            <w:pPr>
              <w:rPr>
                <w:rFonts w:cs="Helvetica"/>
                <w:sz w:val="18"/>
                <w:szCs w:val="20"/>
                <w:lang w:val="en-US"/>
              </w:rPr>
            </w:pPr>
            <w:r w:rsidRPr="00143C10">
              <w:rPr>
                <w:rFonts w:cs="Helvetica"/>
                <w:sz w:val="18"/>
                <w:szCs w:val="20"/>
                <w:lang w:val="en-US"/>
              </w:rPr>
              <w:t>These products relate to futures and options listed on venues outside the EEA. As such these have been listed separately on the top five report but are considered alongside the following in the below analysis</w:t>
            </w:r>
          </w:p>
          <w:p w14:paraId="6DFC0EE0" w14:textId="77777777" w:rsidR="00143C10" w:rsidRPr="00143C10" w:rsidRDefault="00143C10" w:rsidP="00143C10">
            <w:pPr>
              <w:pStyle w:val="ListParagraph"/>
              <w:numPr>
                <w:ilvl w:val="0"/>
                <w:numId w:val="4"/>
              </w:numPr>
              <w:contextualSpacing w:val="0"/>
              <w:rPr>
                <w:rFonts w:cs="Helvetica"/>
                <w:sz w:val="18"/>
                <w:szCs w:val="20"/>
                <w:lang w:val="en-US"/>
              </w:rPr>
            </w:pPr>
            <w:r w:rsidRPr="00143C10">
              <w:rPr>
                <w:rFonts w:cs="Helvetica"/>
                <w:sz w:val="18"/>
                <w:szCs w:val="20"/>
                <w:lang w:val="en-US"/>
              </w:rPr>
              <w:t xml:space="preserve">Equity Derivatives: Options And Futures Admitted To Trading On A Trading Venue. </w:t>
            </w:r>
          </w:p>
          <w:p w14:paraId="2EFE9B32" w14:textId="77777777" w:rsidR="00E03E36" w:rsidRPr="00143C10" w:rsidRDefault="00E03E36" w:rsidP="00D129DF">
            <w:pPr>
              <w:rPr>
                <w:rFonts w:cs="Helvetica"/>
                <w:sz w:val="18"/>
                <w:szCs w:val="20"/>
                <w:lang w:val="en-US"/>
              </w:rPr>
            </w:pPr>
          </w:p>
          <w:p w14:paraId="405C20A2" w14:textId="77777777" w:rsidR="00314D4D" w:rsidRPr="00143C10" w:rsidRDefault="00314D4D" w:rsidP="00D129DF">
            <w:pPr>
              <w:rPr>
                <w:rFonts w:cs="Helvetica"/>
                <w:sz w:val="18"/>
                <w:szCs w:val="20"/>
                <w:lang w:val="en-US"/>
              </w:rPr>
            </w:pPr>
            <w:r w:rsidRPr="00143C10">
              <w:rPr>
                <w:rFonts w:cs="Helvetica"/>
                <w:sz w:val="18"/>
                <w:szCs w:val="20"/>
                <w:lang w:val="en-US"/>
              </w:rPr>
              <w:t>The majority of client business placed with other firms for execution, by J.P. Morgan AG, related to orders transmitted to other regional J.P. Morgan entities (affiliates) for the purposes of providing access to those markets.  Note that we have classified this business as “directed” on the basis that clients placing business with J.P. Morgan AG have a reasonable expectation that it will be executed either directly by J.P. Morgan AG, or by an affiliate, where possible.</w:t>
            </w:r>
          </w:p>
          <w:p w14:paraId="295CCB2F" w14:textId="77777777" w:rsidR="00314D4D" w:rsidRPr="00143C10" w:rsidRDefault="00314D4D" w:rsidP="00D129DF">
            <w:pPr>
              <w:rPr>
                <w:rFonts w:cs="Helvetica"/>
                <w:sz w:val="18"/>
                <w:szCs w:val="20"/>
                <w:lang w:val="en-US"/>
              </w:rPr>
            </w:pPr>
          </w:p>
          <w:p w14:paraId="67EB85DD" w14:textId="26129E26" w:rsidR="00314D4D" w:rsidRPr="00143C10" w:rsidRDefault="00314D4D" w:rsidP="00D129DF">
            <w:pPr>
              <w:rPr>
                <w:rFonts w:cs="Helvetica"/>
                <w:sz w:val="18"/>
                <w:szCs w:val="20"/>
                <w:lang w:val="en-US"/>
              </w:rPr>
            </w:pPr>
            <w:r w:rsidRPr="00143C10">
              <w:rPr>
                <w:rFonts w:cs="Helvetica"/>
                <w:sz w:val="18"/>
                <w:szCs w:val="20"/>
                <w:lang w:val="en-US"/>
              </w:rPr>
              <w:t xml:space="preserve">For certain client business J.P. Morgan AG uses a number of third party entities for order execution, such as carry brokers (for access to certain regulated markets), which  allows J.P. Morgan to provide market access where it otherwise may not be able to execute or where it is believed this will achieve more favorable execution terms for the client. Where J.P. Morgan engages either an affiliate or a third party broker for order execution, J.P. Morgan will comply with </w:t>
            </w:r>
            <w:proofErr w:type="spellStart"/>
            <w:r w:rsidRPr="00143C10">
              <w:rPr>
                <w:rFonts w:cs="Helvetica"/>
                <w:sz w:val="18"/>
                <w:szCs w:val="20"/>
                <w:lang w:val="en-US"/>
              </w:rPr>
              <w:t>it’s</w:t>
            </w:r>
            <w:proofErr w:type="spellEnd"/>
            <w:r w:rsidRPr="00143C10">
              <w:rPr>
                <w:rFonts w:cs="Helvetica"/>
                <w:sz w:val="18"/>
                <w:szCs w:val="20"/>
                <w:lang w:val="en-US"/>
              </w:rPr>
              <w:t xml:space="preserve"> regulatory obligation with respect to that.</w:t>
            </w:r>
          </w:p>
          <w:p w14:paraId="517B6D8A" w14:textId="77777777" w:rsidR="00314D4D" w:rsidRPr="00143C10" w:rsidRDefault="00314D4D" w:rsidP="00D129DF">
            <w:pPr>
              <w:pStyle w:val="NormalWeb"/>
              <w:spacing w:before="0" w:beforeAutospacing="0" w:after="0" w:afterAutospacing="0" w:line="276" w:lineRule="auto"/>
              <w:ind w:hanging="14"/>
              <w:textAlignment w:val="bottom"/>
              <w:rPr>
                <w:rFonts w:asciiTheme="minorHAnsi" w:eastAsiaTheme="minorHAnsi" w:hAnsiTheme="minorHAnsi" w:cs="Helvetica"/>
                <w:sz w:val="18"/>
                <w:szCs w:val="20"/>
              </w:rPr>
            </w:pPr>
          </w:p>
          <w:p w14:paraId="07262373" w14:textId="0050C785" w:rsidR="00314D4D" w:rsidRPr="00143C10" w:rsidRDefault="00314D4D" w:rsidP="00D129DF">
            <w:pPr>
              <w:pStyle w:val="NormalWeb"/>
              <w:spacing w:before="0" w:beforeAutospacing="0" w:after="0" w:afterAutospacing="0" w:line="276" w:lineRule="auto"/>
              <w:ind w:hanging="14"/>
              <w:textAlignment w:val="bottom"/>
              <w:rPr>
                <w:rFonts w:asciiTheme="minorHAnsi" w:eastAsiaTheme="minorHAnsi" w:hAnsiTheme="minorHAnsi" w:cs="Helvetica"/>
                <w:sz w:val="18"/>
                <w:szCs w:val="20"/>
              </w:rPr>
            </w:pPr>
            <w:r w:rsidRPr="00143C10">
              <w:rPr>
                <w:rFonts w:asciiTheme="minorHAnsi" w:eastAsiaTheme="minorHAnsi" w:hAnsiTheme="minorHAnsi" w:cs="Helvetica"/>
                <w:sz w:val="18"/>
                <w:szCs w:val="20"/>
              </w:rPr>
              <w:t xml:space="preserve">J.P. Morgan monitored Best Execution in Futures and Options admitted to a trading venue on a regular basis, through post-trade controls. The results of the monitoring were reviewed by J.P. Morgan management and control functions.  J.P. Morgan regularly reviews the post trade controls to ensure that these continue to be relevant and where possible enhanced to ensure Best Obligations continue to be met. Best Execution monitoring results were </w:t>
            </w:r>
            <w:proofErr w:type="spellStart"/>
            <w:r w:rsidRPr="00143C10">
              <w:rPr>
                <w:rFonts w:asciiTheme="minorHAnsi" w:eastAsiaTheme="minorHAnsi" w:hAnsiTheme="minorHAnsi" w:cs="Helvetica"/>
                <w:sz w:val="18"/>
                <w:szCs w:val="20"/>
              </w:rPr>
              <w:t>inline</w:t>
            </w:r>
            <w:proofErr w:type="spellEnd"/>
            <w:r w:rsidRPr="00143C10">
              <w:rPr>
                <w:rFonts w:asciiTheme="minorHAnsi" w:eastAsiaTheme="minorHAnsi" w:hAnsiTheme="minorHAnsi" w:cs="Helvetica"/>
                <w:sz w:val="18"/>
                <w:szCs w:val="20"/>
              </w:rPr>
              <w:t xml:space="preserve"> with J.P. Morgan expectations.</w:t>
            </w:r>
          </w:p>
          <w:p w14:paraId="5D2A9DDC" w14:textId="77777777" w:rsidR="00314D4D" w:rsidRPr="00143C10" w:rsidRDefault="00314D4D" w:rsidP="00D129DF">
            <w:pPr>
              <w:pStyle w:val="NormalWeb"/>
              <w:spacing w:before="0" w:beforeAutospacing="0" w:after="0" w:afterAutospacing="0" w:line="276" w:lineRule="auto"/>
              <w:ind w:hanging="14"/>
              <w:textAlignment w:val="bottom"/>
              <w:rPr>
                <w:rFonts w:asciiTheme="minorHAnsi" w:eastAsiaTheme="minorHAnsi" w:hAnsiTheme="minorHAnsi" w:cs="Helvetica"/>
                <w:sz w:val="18"/>
                <w:szCs w:val="20"/>
              </w:rPr>
            </w:pPr>
          </w:p>
        </w:tc>
      </w:tr>
      <w:tr w:rsidR="00314D4D" w:rsidRPr="00143C10" w14:paraId="734BF76F" w14:textId="77777777" w:rsidTr="00D129DF">
        <w:tc>
          <w:tcPr>
            <w:tcW w:w="4410" w:type="dxa"/>
            <w:tcBorders>
              <w:left w:val="single" w:sz="12" w:space="0" w:color="auto"/>
            </w:tcBorders>
            <w:shd w:val="clear" w:color="auto" w:fill="D9D9D9" w:themeFill="background1" w:themeFillShade="D9"/>
          </w:tcPr>
          <w:p w14:paraId="09BFBF29" w14:textId="77777777" w:rsidR="00314D4D" w:rsidRPr="00143C10" w:rsidRDefault="00314D4D" w:rsidP="00D129DF">
            <w:pPr>
              <w:rPr>
                <w:color w:val="000000" w:themeColor="text1"/>
                <w:sz w:val="18"/>
                <w:szCs w:val="20"/>
              </w:rPr>
            </w:pPr>
            <w:r w:rsidRPr="00143C10">
              <w:rPr>
                <w:color w:val="000000" w:themeColor="text1"/>
                <w:sz w:val="18"/>
                <w:szCs w:val="20"/>
              </w:rPr>
              <w:t>Relative importance given to execution factors &amp; other considerations</w:t>
            </w:r>
          </w:p>
        </w:tc>
        <w:tc>
          <w:tcPr>
            <w:tcW w:w="9990" w:type="dxa"/>
            <w:tcBorders>
              <w:right w:val="single" w:sz="12" w:space="0" w:color="auto"/>
            </w:tcBorders>
          </w:tcPr>
          <w:p w14:paraId="1C152C2A" w14:textId="77777777" w:rsidR="00314D4D" w:rsidRPr="00143C10" w:rsidRDefault="00314D4D" w:rsidP="00D129DF">
            <w:pPr>
              <w:pStyle w:val="NormalWeb"/>
              <w:spacing w:before="0" w:beforeAutospacing="0" w:after="120" w:afterAutospacing="0" w:line="276" w:lineRule="auto"/>
              <w:ind w:hanging="14"/>
              <w:jc w:val="both"/>
              <w:textAlignment w:val="bottom"/>
              <w:rPr>
                <w:rFonts w:asciiTheme="minorHAnsi" w:eastAsiaTheme="minorHAnsi" w:hAnsiTheme="minorHAnsi" w:cs="Helvetica"/>
                <w:sz w:val="18"/>
                <w:szCs w:val="20"/>
              </w:rPr>
            </w:pPr>
            <w:r w:rsidRPr="00143C10">
              <w:rPr>
                <w:rFonts w:asciiTheme="minorHAnsi" w:eastAsiaTheme="minorHAnsi" w:hAnsiTheme="minorHAnsi" w:cs="Helvetica"/>
                <w:sz w:val="18"/>
                <w:szCs w:val="20"/>
              </w:rPr>
              <w:t xml:space="preserve">The importance given in situations in which </w:t>
            </w:r>
            <w:r w:rsidRPr="00143C10">
              <w:rPr>
                <w:rFonts w:asciiTheme="minorHAnsi" w:hAnsiTheme="minorHAnsi" w:cs="Helvetica"/>
                <w:sz w:val="18"/>
                <w:szCs w:val="20"/>
              </w:rPr>
              <w:t xml:space="preserve">J.P. Morgan AG </w:t>
            </w:r>
            <w:r w:rsidRPr="00143C10">
              <w:rPr>
                <w:rFonts w:asciiTheme="minorHAnsi" w:eastAsiaTheme="minorHAnsi" w:hAnsiTheme="minorHAnsi" w:cs="Helvetica"/>
                <w:sz w:val="18"/>
                <w:szCs w:val="20"/>
              </w:rPr>
              <w:t xml:space="preserve">owes best execution is set out in Appendix 3 of to the </w:t>
            </w:r>
            <w:hyperlink r:id="rId11" w:history="1">
              <w:r w:rsidRPr="00143C10">
                <w:rPr>
                  <w:rFonts w:asciiTheme="minorHAnsi" w:eastAsiaTheme="minorHAnsi" w:hAnsiTheme="minorHAnsi" w:cs="Helvetica"/>
                  <w:sz w:val="18"/>
                  <w:szCs w:val="20"/>
                </w:rPr>
                <w:t>J.P. Morgan Execution Policy</w:t>
              </w:r>
            </w:hyperlink>
            <w:r w:rsidRPr="00143C10">
              <w:rPr>
                <w:rFonts w:asciiTheme="minorHAnsi" w:eastAsiaTheme="minorHAnsi" w:hAnsiTheme="minorHAnsi" w:cs="Helvetica"/>
                <w:sz w:val="18"/>
                <w:szCs w:val="20"/>
              </w:rPr>
              <w:t>.</w:t>
            </w:r>
          </w:p>
        </w:tc>
      </w:tr>
      <w:tr w:rsidR="00314D4D" w:rsidRPr="00143C10" w14:paraId="23A24593" w14:textId="77777777" w:rsidTr="00D129DF">
        <w:tc>
          <w:tcPr>
            <w:tcW w:w="4410" w:type="dxa"/>
            <w:tcBorders>
              <w:left w:val="single" w:sz="12" w:space="0" w:color="auto"/>
            </w:tcBorders>
            <w:shd w:val="clear" w:color="auto" w:fill="D9D9D9" w:themeFill="background1" w:themeFillShade="D9"/>
          </w:tcPr>
          <w:p w14:paraId="446055A9" w14:textId="77777777" w:rsidR="00314D4D" w:rsidRPr="00143C10" w:rsidRDefault="00314D4D" w:rsidP="00D129DF">
            <w:pPr>
              <w:rPr>
                <w:color w:val="000000" w:themeColor="text1"/>
                <w:sz w:val="18"/>
                <w:szCs w:val="20"/>
              </w:rPr>
            </w:pPr>
            <w:r w:rsidRPr="00143C10">
              <w:rPr>
                <w:color w:val="000000" w:themeColor="text1"/>
                <w:sz w:val="18"/>
                <w:szCs w:val="20"/>
              </w:rPr>
              <w:t>Receiving firm close links / conflicts of interest / common ownerships</w:t>
            </w:r>
          </w:p>
        </w:tc>
        <w:tc>
          <w:tcPr>
            <w:tcW w:w="9990" w:type="dxa"/>
            <w:tcBorders>
              <w:right w:val="single" w:sz="12" w:space="0" w:color="auto"/>
            </w:tcBorders>
          </w:tcPr>
          <w:p w14:paraId="3EC30372" w14:textId="6BA0FC3E" w:rsidR="00314D4D" w:rsidRPr="00143C10" w:rsidRDefault="00314D4D" w:rsidP="00D129DF">
            <w:pPr>
              <w:spacing w:after="120"/>
              <w:rPr>
                <w:rFonts w:cs="Helvetica"/>
                <w:sz w:val="18"/>
                <w:szCs w:val="20"/>
                <w:lang w:val="en-US"/>
              </w:rPr>
            </w:pPr>
            <w:r w:rsidRPr="00143C10">
              <w:rPr>
                <w:rFonts w:cs="Helvetica"/>
                <w:sz w:val="18"/>
                <w:szCs w:val="20"/>
                <w:lang w:val="en-US"/>
              </w:rPr>
              <w:t xml:space="preserve">J.P. Morgan AG is a fully owned subsidiary of J.P. Morgan Chase &amp; Co. JP Morgan will engage with global affiliates to manage order execution in local markets. </w:t>
            </w:r>
          </w:p>
          <w:p w14:paraId="5A67F817" w14:textId="77777777" w:rsidR="00314D4D" w:rsidRPr="00143C10" w:rsidRDefault="00314D4D" w:rsidP="00D129DF">
            <w:pPr>
              <w:spacing w:after="120"/>
              <w:rPr>
                <w:rFonts w:cs="Helvetica"/>
                <w:sz w:val="18"/>
                <w:szCs w:val="20"/>
                <w:lang w:val="en-US"/>
              </w:rPr>
            </w:pPr>
            <w:r w:rsidRPr="00143C10">
              <w:rPr>
                <w:rFonts w:cs="Helvetica"/>
                <w:sz w:val="18"/>
                <w:szCs w:val="20"/>
                <w:lang w:val="en-US"/>
              </w:rPr>
              <w:t xml:space="preserve">The affiliates used for the majority of cross-regional execution are all owned by J.P. Morgan holding companies and are expected to co-operate closely to meet the objectives of the firm and its clients. </w:t>
            </w:r>
          </w:p>
          <w:p w14:paraId="61A575BA" w14:textId="77777777" w:rsidR="00314D4D" w:rsidRPr="00143C10" w:rsidRDefault="00314D4D" w:rsidP="00D129DF">
            <w:pPr>
              <w:spacing w:after="120"/>
              <w:rPr>
                <w:rFonts w:cs="Helvetica"/>
                <w:sz w:val="18"/>
                <w:szCs w:val="20"/>
                <w:lang w:val="en-US"/>
              </w:rPr>
            </w:pPr>
            <w:r w:rsidRPr="00143C10">
              <w:rPr>
                <w:rFonts w:cs="Helvetica"/>
                <w:sz w:val="18"/>
                <w:szCs w:val="20"/>
                <w:lang w:val="en-US"/>
              </w:rPr>
              <w:t>Best Execution obligations continue to apply where J.P. Morgan engages either an affiliate or third party for execution.</w:t>
            </w:r>
          </w:p>
        </w:tc>
      </w:tr>
      <w:tr w:rsidR="00314D4D" w:rsidRPr="00143C10" w14:paraId="41F015DD" w14:textId="77777777" w:rsidTr="00D129DF">
        <w:tc>
          <w:tcPr>
            <w:tcW w:w="4410" w:type="dxa"/>
            <w:tcBorders>
              <w:left w:val="single" w:sz="12" w:space="0" w:color="auto"/>
            </w:tcBorders>
            <w:shd w:val="clear" w:color="auto" w:fill="D9D9D9" w:themeFill="background1" w:themeFillShade="D9"/>
          </w:tcPr>
          <w:p w14:paraId="2353EC8D" w14:textId="77777777" w:rsidR="00314D4D" w:rsidRPr="00143C10" w:rsidRDefault="00314D4D" w:rsidP="00D129DF">
            <w:pPr>
              <w:rPr>
                <w:color w:val="000000" w:themeColor="text1"/>
                <w:sz w:val="18"/>
                <w:szCs w:val="20"/>
              </w:rPr>
            </w:pPr>
            <w:r w:rsidRPr="00143C10">
              <w:rPr>
                <w:color w:val="000000" w:themeColor="text1"/>
                <w:sz w:val="18"/>
                <w:szCs w:val="20"/>
              </w:rPr>
              <w:t>Specific receiving firm arrangements</w:t>
            </w:r>
          </w:p>
        </w:tc>
        <w:tc>
          <w:tcPr>
            <w:tcW w:w="9990" w:type="dxa"/>
            <w:tcBorders>
              <w:right w:val="single" w:sz="12" w:space="0" w:color="auto"/>
            </w:tcBorders>
          </w:tcPr>
          <w:p w14:paraId="65A69006" w14:textId="77777777" w:rsidR="00314D4D" w:rsidRPr="00143C10" w:rsidRDefault="00314D4D" w:rsidP="00D129DF">
            <w:pPr>
              <w:spacing w:after="120"/>
              <w:rPr>
                <w:rFonts w:cs="Helvetica"/>
                <w:sz w:val="18"/>
                <w:szCs w:val="20"/>
                <w:lang w:val="en-US"/>
              </w:rPr>
            </w:pPr>
            <w:r w:rsidRPr="00143C10">
              <w:rPr>
                <w:rFonts w:cs="Helvetica"/>
                <w:sz w:val="18"/>
                <w:szCs w:val="20"/>
                <w:lang w:val="en-US"/>
              </w:rPr>
              <w:t xml:space="preserve">There were no such specific arrangements with the receiving firms. </w:t>
            </w:r>
          </w:p>
        </w:tc>
      </w:tr>
      <w:tr w:rsidR="00314D4D" w:rsidRPr="00143C10" w14:paraId="6BF29813" w14:textId="77777777" w:rsidTr="00D129DF">
        <w:tc>
          <w:tcPr>
            <w:tcW w:w="4410" w:type="dxa"/>
            <w:tcBorders>
              <w:left w:val="single" w:sz="12" w:space="0" w:color="auto"/>
            </w:tcBorders>
            <w:shd w:val="clear" w:color="auto" w:fill="D9D9D9" w:themeFill="background1" w:themeFillShade="D9"/>
          </w:tcPr>
          <w:p w14:paraId="32839767" w14:textId="77777777" w:rsidR="00314D4D" w:rsidRPr="00143C10" w:rsidRDefault="00314D4D" w:rsidP="00D129DF">
            <w:pPr>
              <w:rPr>
                <w:color w:val="000000" w:themeColor="text1"/>
                <w:sz w:val="18"/>
                <w:szCs w:val="20"/>
              </w:rPr>
            </w:pPr>
            <w:r w:rsidRPr="00143C10">
              <w:rPr>
                <w:color w:val="000000" w:themeColor="text1"/>
                <w:sz w:val="18"/>
                <w:szCs w:val="20"/>
              </w:rPr>
              <w:t>Changes to receiving firms</w:t>
            </w:r>
          </w:p>
        </w:tc>
        <w:tc>
          <w:tcPr>
            <w:tcW w:w="9990" w:type="dxa"/>
            <w:tcBorders>
              <w:right w:val="single" w:sz="12" w:space="0" w:color="auto"/>
            </w:tcBorders>
          </w:tcPr>
          <w:p w14:paraId="7D541545" w14:textId="77777777" w:rsidR="00314D4D" w:rsidRPr="00143C10" w:rsidRDefault="00314D4D" w:rsidP="00D129DF">
            <w:pPr>
              <w:spacing w:after="120"/>
              <w:rPr>
                <w:rFonts w:cs="Helvetica"/>
                <w:sz w:val="18"/>
                <w:szCs w:val="20"/>
                <w:lang w:val="en-US"/>
              </w:rPr>
            </w:pPr>
            <w:r w:rsidRPr="00143C10">
              <w:rPr>
                <w:rFonts w:cs="Helvetica"/>
                <w:sz w:val="18"/>
                <w:szCs w:val="20"/>
                <w:lang w:val="en-US"/>
              </w:rPr>
              <w:t>In preparation for Brexit the following Affiliates were added:</w:t>
            </w:r>
          </w:p>
          <w:p w14:paraId="1DC0E384" w14:textId="77777777" w:rsidR="00314D4D" w:rsidRPr="00143C10" w:rsidRDefault="00314D4D" w:rsidP="00D129DF">
            <w:pPr>
              <w:spacing w:after="120"/>
              <w:rPr>
                <w:rFonts w:cs="Helvetica"/>
                <w:sz w:val="18"/>
                <w:szCs w:val="20"/>
                <w:lang w:val="en-US"/>
              </w:rPr>
            </w:pPr>
            <w:r w:rsidRPr="00143C10">
              <w:rPr>
                <w:rFonts w:cs="Helvetica"/>
                <w:sz w:val="18"/>
                <w:szCs w:val="20"/>
                <w:lang w:val="en-US"/>
              </w:rPr>
              <w:t>J.P. Morgan Securities plc</w:t>
            </w:r>
          </w:p>
          <w:p w14:paraId="0BE504B7" w14:textId="77777777" w:rsidR="00314D4D" w:rsidRPr="00143C10" w:rsidRDefault="00314D4D" w:rsidP="00D129DF">
            <w:pPr>
              <w:spacing w:after="120"/>
              <w:rPr>
                <w:rFonts w:cs="Helvetica"/>
                <w:sz w:val="18"/>
                <w:szCs w:val="20"/>
                <w:lang w:val="en-US"/>
              </w:rPr>
            </w:pPr>
            <w:r w:rsidRPr="00143C10">
              <w:rPr>
                <w:rFonts w:cs="Helvetica"/>
                <w:sz w:val="18"/>
                <w:szCs w:val="20"/>
                <w:lang w:val="en-US"/>
              </w:rPr>
              <w:t>J.P. Morgan Securities LLC</w:t>
            </w:r>
          </w:p>
        </w:tc>
      </w:tr>
      <w:tr w:rsidR="00314D4D" w:rsidRPr="00143C10" w14:paraId="19D8A269" w14:textId="77777777" w:rsidTr="00D129DF">
        <w:tc>
          <w:tcPr>
            <w:tcW w:w="4410" w:type="dxa"/>
            <w:tcBorders>
              <w:left w:val="single" w:sz="12" w:space="0" w:color="auto"/>
            </w:tcBorders>
            <w:shd w:val="clear" w:color="auto" w:fill="D9D9D9" w:themeFill="background1" w:themeFillShade="D9"/>
          </w:tcPr>
          <w:p w14:paraId="54C10890" w14:textId="77777777" w:rsidR="00314D4D" w:rsidRPr="00143C10" w:rsidRDefault="00314D4D" w:rsidP="00D129DF">
            <w:pPr>
              <w:rPr>
                <w:color w:val="000000" w:themeColor="text1"/>
                <w:sz w:val="18"/>
                <w:szCs w:val="20"/>
              </w:rPr>
            </w:pPr>
            <w:r w:rsidRPr="00143C10">
              <w:rPr>
                <w:color w:val="000000" w:themeColor="text1"/>
                <w:sz w:val="18"/>
                <w:szCs w:val="20"/>
              </w:rPr>
              <w:t>Client distinctions</w:t>
            </w:r>
          </w:p>
        </w:tc>
        <w:tc>
          <w:tcPr>
            <w:tcW w:w="9990" w:type="dxa"/>
            <w:tcBorders>
              <w:right w:val="single" w:sz="12" w:space="0" w:color="auto"/>
            </w:tcBorders>
          </w:tcPr>
          <w:p w14:paraId="0C72594D" w14:textId="77777777" w:rsidR="00314D4D" w:rsidRPr="00143C10" w:rsidRDefault="00314D4D" w:rsidP="00D129DF">
            <w:pPr>
              <w:spacing w:after="120"/>
              <w:rPr>
                <w:rFonts w:cs="Helvetica"/>
                <w:sz w:val="18"/>
                <w:szCs w:val="20"/>
                <w:lang w:val="en-US"/>
              </w:rPr>
            </w:pPr>
            <w:r w:rsidRPr="00143C10">
              <w:rPr>
                <w:rFonts w:cs="Helvetica"/>
                <w:sz w:val="18"/>
                <w:szCs w:val="20"/>
                <w:lang w:val="en-US"/>
              </w:rPr>
              <w:t xml:space="preserve">J.P. Morgan AG does not differentiate between different classes of clients for the purposes of Best Execution.  </w:t>
            </w:r>
          </w:p>
        </w:tc>
      </w:tr>
      <w:tr w:rsidR="00314D4D" w:rsidRPr="00143C10" w14:paraId="6119AB09" w14:textId="77777777" w:rsidTr="00D129DF">
        <w:tc>
          <w:tcPr>
            <w:tcW w:w="4410" w:type="dxa"/>
            <w:tcBorders>
              <w:left w:val="single" w:sz="12" w:space="0" w:color="auto"/>
            </w:tcBorders>
            <w:shd w:val="clear" w:color="auto" w:fill="D9D9D9" w:themeFill="background1" w:themeFillShade="D9"/>
          </w:tcPr>
          <w:p w14:paraId="26DB5BE8" w14:textId="77777777" w:rsidR="00314D4D" w:rsidRPr="00143C10" w:rsidRDefault="00314D4D" w:rsidP="00D129DF">
            <w:pPr>
              <w:rPr>
                <w:color w:val="000000" w:themeColor="text1"/>
                <w:sz w:val="18"/>
                <w:szCs w:val="20"/>
              </w:rPr>
            </w:pPr>
            <w:r w:rsidRPr="00143C10">
              <w:rPr>
                <w:color w:val="000000" w:themeColor="text1"/>
                <w:sz w:val="18"/>
                <w:szCs w:val="20"/>
              </w:rPr>
              <w:t>Use of data/tools relating to the quality of execution</w:t>
            </w:r>
          </w:p>
        </w:tc>
        <w:tc>
          <w:tcPr>
            <w:tcW w:w="9990" w:type="dxa"/>
            <w:tcBorders>
              <w:right w:val="single" w:sz="12" w:space="0" w:color="auto"/>
            </w:tcBorders>
          </w:tcPr>
          <w:p w14:paraId="48618AE1" w14:textId="5A4102B7" w:rsidR="00314D4D" w:rsidRPr="00143C10" w:rsidRDefault="00F8505B" w:rsidP="00B12E34">
            <w:pPr>
              <w:spacing w:after="120"/>
              <w:rPr>
                <w:rFonts w:cs="Helvetica"/>
                <w:sz w:val="18"/>
                <w:szCs w:val="20"/>
                <w:lang w:val="en-US"/>
              </w:rPr>
            </w:pPr>
            <w:r w:rsidRPr="00143C10">
              <w:rPr>
                <w:rFonts w:cs="Helvetica"/>
                <w:sz w:val="18"/>
                <w:szCs w:val="20"/>
                <w:lang w:val="en-US"/>
              </w:rPr>
              <w:t xml:space="preserve">J.P. Morgan AG </w:t>
            </w:r>
            <w:r w:rsidR="00314D4D" w:rsidRPr="00143C10">
              <w:rPr>
                <w:rFonts w:cs="Helvetica"/>
                <w:sz w:val="18"/>
                <w:szCs w:val="20"/>
                <w:lang w:val="en-US"/>
              </w:rPr>
              <w:t xml:space="preserve">used internal data sources to assess </w:t>
            </w:r>
            <w:r w:rsidR="00B12E34">
              <w:rPr>
                <w:rFonts w:cs="Helvetica"/>
                <w:sz w:val="18"/>
                <w:szCs w:val="20"/>
                <w:lang w:val="en-US"/>
              </w:rPr>
              <w:t>B</w:t>
            </w:r>
            <w:r w:rsidR="00314D4D" w:rsidRPr="00143C10">
              <w:rPr>
                <w:rFonts w:cs="Helvetica"/>
                <w:sz w:val="18"/>
                <w:szCs w:val="20"/>
                <w:lang w:val="en-US"/>
              </w:rPr>
              <w:t xml:space="preserve">est </w:t>
            </w:r>
            <w:r w:rsidR="00B12E34">
              <w:rPr>
                <w:rFonts w:cs="Helvetica"/>
                <w:sz w:val="18"/>
                <w:szCs w:val="20"/>
                <w:lang w:val="en-US"/>
              </w:rPr>
              <w:t>E</w:t>
            </w:r>
            <w:r w:rsidR="00314D4D" w:rsidRPr="00143C10">
              <w:rPr>
                <w:rFonts w:cs="Helvetica"/>
                <w:sz w:val="18"/>
                <w:szCs w:val="20"/>
                <w:lang w:val="en-US"/>
              </w:rPr>
              <w:t xml:space="preserve">xecution. </w:t>
            </w:r>
          </w:p>
        </w:tc>
      </w:tr>
      <w:tr w:rsidR="00314D4D" w:rsidRPr="00143C10" w14:paraId="4AF9A660" w14:textId="77777777" w:rsidTr="00D129DF">
        <w:trPr>
          <w:trHeight w:val="56"/>
        </w:trPr>
        <w:tc>
          <w:tcPr>
            <w:tcW w:w="4410" w:type="dxa"/>
            <w:tcBorders>
              <w:left w:val="single" w:sz="12" w:space="0" w:color="auto"/>
            </w:tcBorders>
            <w:shd w:val="clear" w:color="auto" w:fill="D9D9D9" w:themeFill="background1" w:themeFillShade="D9"/>
          </w:tcPr>
          <w:p w14:paraId="30C3552F" w14:textId="77777777" w:rsidR="00314D4D" w:rsidRPr="00143C10" w:rsidRDefault="00314D4D" w:rsidP="00D129DF">
            <w:pPr>
              <w:rPr>
                <w:color w:val="000000" w:themeColor="text1"/>
                <w:sz w:val="18"/>
                <w:szCs w:val="20"/>
              </w:rPr>
            </w:pPr>
            <w:r w:rsidRPr="00143C10">
              <w:rPr>
                <w:color w:val="000000" w:themeColor="text1"/>
                <w:sz w:val="18"/>
                <w:szCs w:val="20"/>
              </w:rPr>
              <w:t>Use of consolidated tape provider output or other algorithms to assess execution performances</w:t>
            </w:r>
          </w:p>
        </w:tc>
        <w:tc>
          <w:tcPr>
            <w:tcW w:w="9990" w:type="dxa"/>
            <w:tcBorders>
              <w:right w:val="single" w:sz="12" w:space="0" w:color="auto"/>
            </w:tcBorders>
          </w:tcPr>
          <w:p w14:paraId="50A7A88A" w14:textId="77777777" w:rsidR="00314D4D" w:rsidRPr="00143C10" w:rsidRDefault="00314D4D" w:rsidP="00D129DF">
            <w:pPr>
              <w:spacing w:after="120"/>
              <w:rPr>
                <w:rFonts w:cs="Helvetica"/>
                <w:sz w:val="18"/>
                <w:szCs w:val="20"/>
                <w:lang w:val="en-US"/>
              </w:rPr>
            </w:pPr>
            <w:r w:rsidRPr="00143C10">
              <w:rPr>
                <w:rFonts w:cs="Helvetica"/>
                <w:sz w:val="18"/>
                <w:szCs w:val="20"/>
                <w:lang w:val="en-US"/>
              </w:rPr>
              <w:t>Not Applicable.</w:t>
            </w:r>
          </w:p>
        </w:tc>
      </w:tr>
    </w:tbl>
    <w:p w14:paraId="3F2A1981" w14:textId="77777777" w:rsidR="00CF3F2E" w:rsidRPr="00143C10" w:rsidRDefault="00CF3F2E" w:rsidP="001D5A9F">
      <w:pPr>
        <w:rPr>
          <w:sz w:val="18"/>
          <w:szCs w:val="20"/>
        </w:rPr>
      </w:pPr>
    </w:p>
    <w:sectPr w:rsidR="00CF3F2E" w:rsidRPr="00143C10" w:rsidSect="00791919">
      <w:footerReference w:type="default" r:id="rId12"/>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992A0" w14:textId="77777777" w:rsidR="00053C8D" w:rsidRDefault="00053C8D" w:rsidP="00791919">
      <w:pPr>
        <w:spacing w:after="0" w:line="240" w:lineRule="auto"/>
      </w:pPr>
      <w:r>
        <w:separator/>
      </w:r>
    </w:p>
  </w:endnote>
  <w:endnote w:type="continuationSeparator" w:id="0">
    <w:p w14:paraId="359992A1" w14:textId="77777777" w:rsidR="00053C8D" w:rsidRDefault="00053C8D"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992A3" w14:textId="590A98D7" w:rsidR="00791919" w:rsidRPr="002A3033" w:rsidRDefault="00496C7D" w:rsidP="002A3033">
    <w:pPr>
      <w:rPr>
        <w:sz w:val="18"/>
        <w:szCs w:val="18"/>
      </w:rPr>
    </w:pPr>
    <w:r w:rsidRPr="00496C7D">
      <w:rPr>
        <w:sz w:val="18"/>
        <w:szCs w:val="18"/>
      </w:rPr>
      <w:t>J.P. Morgan AG (549300ZK53CNGEEI6A29)</w:t>
    </w:r>
    <w:r w:rsidR="00791919">
      <w:rPr>
        <w:noProof/>
        <w:lang w:eastAsia="en-GB"/>
      </w:rPr>
      <mc:AlternateContent>
        <mc:Choice Requires="wps">
          <w:drawing>
            <wp:anchor distT="0" distB="0" distL="114300" distR="114300" simplePos="0" relativeHeight="251659264" behindDoc="0" locked="0" layoutInCell="1" allowOverlap="1" wp14:anchorId="359992A4" wp14:editId="359992A5">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359992A8" w14:textId="133C7110"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59992A4"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359992A8" w14:textId="133C7110"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59992A6" wp14:editId="359992A7">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E27F747"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99929E" w14:textId="77777777" w:rsidR="00053C8D" w:rsidRDefault="00053C8D" w:rsidP="00791919">
      <w:pPr>
        <w:spacing w:after="0" w:line="240" w:lineRule="auto"/>
      </w:pPr>
      <w:r>
        <w:separator/>
      </w:r>
    </w:p>
  </w:footnote>
  <w:footnote w:type="continuationSeparator" w:id="0">
    <w:p w14:paraId="3599929F" w14:textId="77777777" w:rsidR="00053C8D" w:rsidRDefault="00053C8D" w:rsidP="0079191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0731340"/>
    <w:multiLevelType w:val="multilevel"/>
    <w:tmpl w:val="40CC64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994EB3"/>
    <w:multiLevelType w:val="hybridMultilevel"/>
    <w:tmpl w:val="030AF7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54A4"/>
    <w:rsid w:val="000469E1"/>
    <w:rsid w:val="00053C8D"/>
    <w:rsid w:val="000615FB"/>
    <w:rsid w:val="000A65FD"/>
    <w:rsid w:val="000B29B9"/>
    <w:rsid w:val="000B3236"/>
    <w:rsid w:val="000C75E5"/>
    <w:rsid w:val="00102EB3"/>
    <w:rsid w:val="00141597"/>
    <w:rsid w:val="00143C10"/>
    <w:rsid w:val="00144828"/>
    <w:rsid w:val="001A5558"/>
    <w:rsid w:val="001B0D34"/>
    <w:rsid w:val="001D0CA7"/>
    <w:rsid w:val="001D5A9F"/>
    <w:rsid w:val="001D7E89"/>
    <w:rsid w:val="001E4046"/>
    <w:rsid w:val="00210DEB"/>
    <w:rsid w:val="00217666"/>
    <w:rsid w:val="00236BCE"/>
    <w:rsid w:val="002A3033"/>
    <w:rsid w:val="002B39A0"/>
    <w:rsid w:val="002D07D7"/>
    <w:rsid w:val="002D1780"/>
    <w:rsid w:val="003008C6"/>
    <w:rsid w:val="0030262D"/>
    <w:rsid w:val="00307A3E"/>
    <w:rsid w:val="00314D4D"/>
    <w:rsid w:val="0035063A"/>
    <w:rsid w:val="003537EB"/>
    <w:rsid w:val="00374F5C"/>
    <w:rsid w:val="003914E5"/>
    <w:rsid w:val="003A6015"/>
    <w:rsid w:val="003C48D4"/>
    <w:rsid w:val="0047552E"/>
    <w:rsid w:val="00496C7D"/>
    <w:rsid w:val="005110F9"/>
    <w:rsid w:val="00520E03"/>
    <w:rsid w:val="005D4FFD"/>
    <w:rsid w:val="00656ECF"/>
    <w:rsid w:val="006B0D5E"/>
    <w:rsid w:val="007029C8"/>
    <w:rsid w:val="0071640F"/>
    <w:rsid w:val="00774C60"/>
    <w:rsid w:val="00791919"/>
    <w:rsid w:val="007A6941"/>
    <w:rsid w:val="007B228E"/>
    <w:rsid w:val="00804E0D"/>
    <w:rsid w:val="008475F2"/>
    <w:rsid w:val="00861DC6"/>
    <w:rsid w:val="00881418"/>
    <w:rsid w:val="008C2482"/>
    <w:rsid w:val="008C3D9F"/>
    <w:rsid w:val="008D0EE2"/>
    <w:rsid w:val="008E595C"/>
    <w:rsid w:val="00901F44"/>
    <w:rsid w:val="00902C96"/>
    <w:rsid w:val="00912863"/>
    <w:rsid w:val="00912E55"/>
    <w:rsid w:val="00917912"/>
    <w:rsid w:val="00920127"/>
    <w:rsid w:val="009203A5"/>
    <w:rsid w:val="00927782"/>
    <w:rsid w:val="0093529C"/>
    <w:rsid w:val="00965D08"/>
    <w:rsid w:val="00967A1F"/>
    <w:rsid w:val="009802F7"/>
    <w:rsid w:val="00987336"/>
    <w:rsid w:val="009B3987"/>
    <w:rsid w:val="009E754E"/>
    <w:rsid w:val="00A07CEE"/>
    <w:rsid w:val="00A54A2F"/>
    <w:rsid w:val="00A872C5"/>
    <w:rsid w:val="00AA5380"/>
    <w:rsid w:val="00AD1EBB"/>
    <w:rsid w:val="00AE1027"/>
    <w:rsid w:val="00AE1F1F"/>
    <w:rsid w:val="00AE4966"/>
    <w:rsid w:val="00B011C5"/>
    <w:rsid w:val="00B12E34"/>
    <w:rsid w:val="00B87544"/>
    <w:rsid w:val="00B92AAF"/>
    <w:rsid w:val="00BB2060"/>
    <w:rsid w:val="00C21622"/>
    <w:rsid w:val="00C302FD"/>
    <w:rsid w:val="00C8611B"/>
    <w:rsid w:val="00CC4589"/>
    <w:rsid w:val="00CF1737"/>
    <w:rsid w:val="00CF30DA"/>
    <w:rsid w:val="00CF3F2E"/>
    <w:rsid w:val="00D4069F"/>
    <w:rsid w:val="00D7132F"/>
    <w:rsid w:val="00DF2E56"/>
    <w:rsid w:val="00E03E36"/>
    <w:rsid w:val="00E063FD"/>
    <w:rsid w:val="00E73067"/>
    <w:rsid w:val="00E845ED"/>
    <w:rsid w:val="00EE008A"/>
    <w:rsid w:val="00EE09DB"/>
    <w:rsid w:val="00EE629B"/>
    <w:rsid w:val="00F010E3"/>
    <w:rsid w:val="00F24840"/>
    <w:rsid w:val="00F32671"/>
    <w:rsid w:val="00F8505B"/>
    <w:rsid w:val="00FC574E"/>
    <w:rsid w:val="00FD4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599925A"/>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ListParagraph">
    <w:name w:val="List Paragraph"/>
    <w:basedOn w:val="Normal"/>
    <w:uiPriority w:val="34"/>
    <w:qFormat/>
    <w:rsid w:val="00CF3F2E"/>
    <w:pPr>
      <w:ind w:left="720"/>
      <w:contextualSpacing/>
    </w:pPr>
  </w:style>
  <w:style w:type="character" w:styleId="Hyperlink">
    <w:name w:val="Hyperlink"/>
    <w:basedOn w:val="DefaultParagraphFont"/>
    <w:uiPriority w:val="99"/>
    <w:unhideWhenUsed/>
    <w:rsid w:val="00774C60"/>
    <w:rPr>
      <w:color w:val="0000FF" w:themeColor="hyperlink"/>
      <w:u w:val="single"/>
    </w:rPr>
  </w:style>
  <w:style w:type="table" w:customStyle="1" w:styleId="TableGrid1">
    <w:name w:val="Table Grid1"/>
    <w:basedOn w:val="TableNormal"/>
    <w:uiPriority w:val="59"/>
    <w:rsid w:val="001D5A9F"/>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4D4D"/>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D7132F"/>
    <w:rPr>
      <w:sz w:val="16"/>
      <w:szCs w:val="16"/>
    </w:rPr>
  </w:style>
  <w:style w:type="paragraph" w:styleId="CommentText">
    <w:name w:val="annotation text"/>
    <w:basedOn w:val="Normal"/>
    <w:link w:val="CommentTextChar"/>
    <w:uiPriority w:val="99"/>
    <w:semiHidden/>
    <w:unhideWhenUsed/>
    <w:rsid w:val="00D7132F"/>
    <w:pPr>
      <w:spacing w:line="240" w:lineRule="auto"/>
    </w:pPr>
    <w:rPr>
      <w:sz w:val="20"/>
      <w:szCs w:val="20"/>
    </w:rPr>
  </w:style>
  <w:style w:type="character" w:customStyle="1" w:styleId="CommentTextChar">
    <w:name w:val="Comment Text Char"/>
    <w:basedOn w:val="DefaultParagraphFont"/>
    <w:link w:val="CommentText"/>
    <w:uiPriority w:val="99"/>
    <w:semiHidden/>
    <w:rsid w:val="00D7132F"/>
    <w:rPr>
      <w:sz w:val="20"/>
      <w:szCs w:val="20"/>
    </w:rPr>
  </w:style>
  <w:style w:type="paragraph" w:styleId="CommentSubject">
    <w:name w:val="annotation subject"/>
    <w:basedOn w:val="CommentText"/>
    <w:next w:val="CommentText"/>
    <w:link w:val="CommentSubjectChar"/>
    <w:uiPriority w:val="99"/>
    <w:semiHidden/>
    <w:unhideWhenUsed/>
    <w:rsid w:val="00D7132F"/>
    <w:rPr>
      <w:b/>
      <w:bCs/>
    </w:rPr>
  </w:style>
  <w:style w:type="character" w:customStyle="1" w:styleId="CommentSubjectChar">
    <w:name w:val="Comment Subject Char"/>
    <w:basedOn w:val="CommentTextChar"/>
    <w:link w:val="CommentSubject"/>
    <w:uiPriority w:val="99"/>
    <w:semiHidden/>
    <w:rsid w:val="00D7132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7973253">
      <w:bodyDiv w:val="1"/>
      <w:marLeft w:val="0"/>
      <w:marRight w:val="0"/>
      <w:marTop w:val="0"/>
      <w:marBottom w:val="0"/>
      <w:divBdr>
        <w:top w:val="none" w:sz="0" w:space="0" w:color="auto"/>
        <w:left w:val="none" w:sz="0" w:space="0" w:color="auto"/>
        <w:bottom w:val="none" w:sz="0" w:space="0" w:color="auto"/>
        <w:right w:val="none" w:sz="0" w:space="0" w:color="auto"/>
      </w:divBdr>
    </w:div>
    <w:div w:id="956713869">
      <w:bodyDiv w:val="1"/>
      <w:marLeft w:val="0"/>
      <w:marRight w:val="0"/>
      <w:marTop w:val="0"/>
      <w:marBottom w:val="0"/>
      <w:divBdr>
        <w:top w:val="none" w:sz="0" w:space="0" w:color="auto"/>
        <w:left w:val="none" w:sz="0" w:space="0" w:color="auto"/>
        <w:bottom w:val="none" w:sz="0" w:space="0" w:color="auto"/>
        <w:right w:val="none" w:sz="0" w:space="0" w:color="auto"/>
      </w:divBdr>
    </w:div>
    <w:div w:id="1230385582">
      <w:bodyDiv w:val="1"/>
      <w:marLeft w:val="0"/>
      <w:marRight w:val="0"/>
      <w:marTop w:val="0"/>
      <w:marBottom w:val="0"/>
      <w:divBdr>
        <w:top w:val="none" w:sz="0" w:space="0" w:color="auto"/>
        <w:left w:val="none" w:sz="0" w:space="0" w:color="auto"/>
        <w:bottom w:val="none" w:sz="0" w:space="0" w:color="auto"/>
        <w:right w:val="none" w:sz="0" w:space="0" w:color="auto"/>
      </w:divBdr>
    </w:div>
    <w:div w:id="1393963415">
      <w:bodyDiv w:val="1"/>
      <w:marLeft w:val="0"/>
      <w:marRight w:val="0"/>
      <w:marTop w:val="0"/>
      <w:marBottom w:val="0"/>
      <w:divBdr>
        <w:top w:val="none" w:sz="0" w:space="0" w:color="auto"/>
        <w:left w:val="none" w:sz="0" w:space="0" w:color="auto"/>
        <w:bottom w:val="none" w:sz="0" w:space="0" w:color="auto"/>
        <w:right w:val="none" w:sz="0" w:space="0" w:color="auto"/>
      </w:divBdr>
    </w:div>
    <w:div w:id="1607880992">
      <w:bodyDiv w:val="1"/>
      <w:marLeft w:val="0"/>
      <w:marRight w:val="0"/>
      <w:marTop w:val="0"/>
      <w:marBottom w:val="0"/>
      <w:divBdr>
        <w:top w:val="none" w:sz="0" w:space="0" w:color="auto"/>
        <w:left w:val="none" w:sz="0" w:space="0" w:color="auto"/>
        <w:bottom w:val="none" w:sz="0" w:space="0" w:color="auto"/>
        <w:right w:val="none" w:sz="0" w:space="0" w:color="auto"/>
      </w:divBdr>
    </w:div>
    <w:div w:id="1776246385">
      <w:bodyDiv w:val="1"/>
      <w:marLeft w:val="0"/>
      <w:marRight w:val="0"/>
      <w:marTop w:val="0"/>
      <w:marBottom w:val="0"/>
      <w:divBdr>
        <w:top w:val="none" w:sz="0" w:space="0" w:color="auto"/>
        <w:left w:val="none" w:sz="0" w:space="0" w:color="auto"/>
        <w:bottom w:val="none" w:sz="0" w:space="0" w:color="auto"/>
        <w:right w:val="none" w:sz="0" w:space="0" w:color="auto"/>
      </w:divBdr>
    </w:div>
    <w:div w:id="182323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global/disclosures/mifidi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00CAE-4418-4791-AD06-A5B946A7C059}">
  <ds:schemaRefs>
    <ds:schemaRef ds:uri="http://schemas.microsoft.com/office/2006/documentManagement/types"/>
    <ds:schemaRef ds:uri="http://purl.org/dc/dcmitype/"/>
    <ds:schemaRef ds:uri="http://purl.org/dc/terms/"/>
    <ds:schemaRef ds:uri="7d1f7825-6765-4743-817d-89ed4ea58d40"/>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0421DEE3-1054-4096-BA59-2BC4B51DCAA0}">
  <ds:schemaRefs>
    <ds:schemaRef ds:uri="http://schemas.microsoft.com/sharepoint/v3/contenttype/forms"/>
  </ds:schemaRefs>
</ds:datastoreItem>
</file>

<file path=customXml/itemProps3.xml><?xml version="1.0" encoding="utf-8"?>
<ds:datastoreItem xmlns:ds="http://schemas.openxmlformats.org/officeDocument/2006/customXml" ds:itemID="{88B0F255-224F-4D4E-BCFA-88685F1F9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671792-9630-414C-AB55-4410B5B28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Securities PLC</dc:creator>
  <cp:lastModifiedBy>Alom, Zibrul</cp:lastModifiedBy>
  <cp:revision>15</cp:revision>
  <cp:lastPrinted>2018-03-01T08:50:00Z</cp:lastPrinted>
  <dcterms:created xsi:type="dcterms:W3CDTF">2019-05-28T12:29:00Z</dcterms:created>
  <dcterms:modified xsi:type="dcterms:W3CDTF">2019-07-09T15:44:00Z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